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Extensions/webExtension1.xml" ContentType="application/vnd.wps-officedocument.webExtension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2A669">
      <w:pPr>
        <w:jc w:val="center"/>
        <w:rPr>
          <w:rFonts w:hint="eastAsia" w:ascii="黑体" w:hAnsi="黑体" w:eastAsia="黑体" w:cs="黑体"/>
          <w:b/>
          <w:bCs/>
          <w:sz w:val="48"/>
          <w:szCs w:val="56"/>
        </w:rPr>
      </w:pPr>
      <w:r>
        <w:rPr>
          <w:rFonts w:hint="eastAsia" w:ascii="黑体" w:hAnsi="黑体" w:eastAsia="黑体" w:cs="黑体"/>
          <w:b/>
          <w:bCs/>
          <w:sz w:val="48"/>
          <w:szCs w:val="56"/>
        </w:rPr>
        <w:t>2025-2026学年</w:t>
      </w:r>
      <w:r>
        <w:rPr>
          <w:rFonts w:hint="eastAsia" w:ascii="黑体" w:hAnsi="黑体" w:eastAsia="黑体" w:cs="黑体"/>
          <w:b/>
          <w:bCs/>
          <w:sz w:val="48"/>
          <w:szCs w:val="56"/>
          <w:lang w:val="en-US" w:eastAsia="zh-CN"/>
        </w:rPr>
        <w:t>图书馆借阅</w:t>
      </w:r>
      <w:r>
        <w:rPr>
          <w:rFonts w:hint="eastAsia" w:ascii="黑体" w:hAnsi="黑体" w:eastAsia="黑体" w:cs="黑体"/>
          <w:b/>
          <w:bCs/>
          <w:sz w:val="48"/>
          <w:szCs w:val="56"/>
        </w:rPr>
        <w:t>情况报告</w:t>
      </w:r>
    </w:p>
    <w:p w14:paraId="44C01EF1">
      <w:pPr>
        <w:rPr>
          <w:rFonts w:hint="eastAsia"/>
        </w:rPr>
      </w:pPr>
    </w:p>
    <w:p w14:paraId="7748A0A6">
      <w:pPr>
        <w:rPr>
          <w:rFonts w:hint="eastAsia"/>
        </w:rPr>
      </w:pPr>
    </w:p>
    <w:p w14:paraId="234ACDB8">
      <w:pPr>
        <w:spacing w:line="360" w:lineRule="auto"/>
        <w:ind w:left="0" w:leftChars="0" w:firstLine="420" w:firstLineChars="175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为全面掌握师生阅读动态与知识需求，提升资源建设与服务的精准性，图书馆系统梳理了2025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-2026学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年图书借阅数据，发布《2025-2026学年图书馆借阅情况报告》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报告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数据来源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为Interlib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图书馆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集群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管理系统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，统计时间为2025年9月1日至2026年8月31日，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内容涵盖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借阅情况统计分析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阅读偏好总结和下一步打算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等。</w:t>
      </w:r>
    </w:p>
    <w:p w14:paraId="55DB5DD1">
      <w:pPr>
        <w:spacing w:line="360" w:lineRule="auto"/>
        <w:ind w:left="0" w:leftChars="0" w:firstLine="420" w:firstLineChars="175"/>
        <w:rPr>
          <w:rFonts w:hint="eastAsia"/>
          <w:b w:val="0"/>
          <w:bCs w:val="0"/>
          <w:sz w:val="24"/>
          <w:szCs w:val="24"/>
        </w:rPr>
      </w:pPr>
    </w:p>
    <w:p w14:paraId="6EDBE3B2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</w:t>
      </w:r>
      <w:r>
        <w:rPr>
          <w:rFonts w:hint="eastAsia"/>
          <w:b/>
          <w:bCs/>
          <w:sz w:val="28"/>
          <w:szCs w:val="28"/>
          <w:lang w:val="en-US" w:eastAsia="zh-CN"/>
        </w:rPr>
        <w:t>总体</w:t>
      </w:r>
      <w:r>
        <w:rPr>
          <w:rFonts w:hint="eastAsia"/>
          <w:b/>
          <w:bCs/>
          <w:sz w:val="28"/>
          <w:szCs w:val="28"/>
        </w:rPr>
        <w:t>借阅情况</w:t>
      </w:r>
    </w:p>
    <w:p w14:paraId="3D02D6B5">
      <w:pPr>
        <w:spacing w:line="360" w:lineRule="auto"/>
        <w:ind w:left="0" w:leftChars="0" w:firstLine="420" w:firstLineChars="175"/>
        <w:rPr>
          <w:rFonts w:hint="eastAsia" w:eastAsiaTheme="minorEastAsia"/>
          <w:b w:val="0"/>
          <w:bCs w:val="0"/>
          <w:sz w:val="24"/>
          <w:szCs w:val="24"/>
          <w:lang w:eastAsia="zh-CN"/>
        </w:rPr>
      </w:pPr>
      <w:r>
        <w:rPr>
          <w:rFonts w:hint="eastAsia" w:eastAsiaTheme="minorEastAsia"/>
          <w:b w:val="0"/>
          <w:bCs w:val="0"/>
          <w:sz w:val="24"/>
          <w:szCs w:val="24"/>
          <w:lang w:eastAsia="zh-CN"/>
        </w:rPr>
        <w:drawing>
          <wp:inline distT="0" distB="0" distL="114300" distR="114300">
            <wp:extent cx="5076825" cy="2857500"/>
            <wp:effectExtent l="0" t="0" r="9525" b="0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857500"/>
                    </a:xfrm>
                    <a:prstGeom prst="rect">
                      <a:avLst/>
                    </a:prstGeom>
                    <a:extLst>
                      <a:ext uri="{8CAD56D8-0F58-4FB8-B24C-77498146470C}">
                        <wpswe:webExtensionRef xmlns:wpswe="http://www.wps.cn/officeDocument/2018/webExtension" r:id="rId6"/>
                      </a:ext>
                      <wpswe:webExtensionRef xmlns:wpswe="http://www.wps.cn/officeDocument/2018/webExtension" r:id="rId6"/>
                    </a:extLst>
                  </pic:spPr>
                </pic:pic>
              </a:graphicData>
            </a:graphic>
          </wp:inline>
        </w:drawing>
      </w:r>
    </w:p>
    <w:p w14:paraId="0D0BA77A">
      <w:pPr>
        <w:spacing w:line="360" w:lineRule="auto"/>
        <w:ind w:left="0" w:leftChars="0" w:firstLine="420" w:firstLineChars="175"/>
        <w:jc w:val="center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图1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2025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-2026学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年图书分类借阅量</w:t>
      </w:r>
    </w:p>
    <w:p w14:paraId="48BE3376">
      <w:pPr>
        <w:spacing w:line="360" w:lineRule="auto"/>
        <w:ind w:left="0" w:leftChars="0" w:firstLine="420" w:firstLineChars="175"/>
        <w:jc w:val="center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bookmarkStart w:id="0" w:name="_GoBack"/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drawing>
          <wp:inline distT="0" distB="0" distL="114300" distR="114300">
            <wp:extent cx="5256530" cy="2988310"/>
            <wp:effectExtent l="5080" t="4445" r="15240" b="17145"/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14:paraId="07454EF6">
      <w:pPr>
        <w:spacing w:line="360" w:lineRule="auto"/>
        <w:ind w:left="0" w:leftChars="0" w:firstLine="420" w:firstLineChars="175"/>
        <w:jc w:val="center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图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/>
        </w:rPr>
        <w:t>2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2025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-2026学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图书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学科类别借阅占比</w:t>
      </w:r>
    </w:p>
    <w:p w14:paraId="78BDAE8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5E5492B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本学年全校纸质图书借阅总量为616册次，其中专业类213册次，文学类403册次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；学生借阅270册次，教职工借阅346册次。</w:t>
      </w:r>
      <w:r>
        <w:rPr>
          <w:rFonts w:hint="eastAsia" w:ascii="宋体" w:hAnsi="宋体" w:eastAsia="宋体" w:cs="宋体"/>
          <w:sz w:val="24"/>
          <w:szCs w:val="24"/>
        </w:rPr>
        <w:t>文学类阅读占主导，为65.4%；专业类阅读占34.6%，反映师生兼顾兴趣与工作学习需求。</w:t>
      </w:r>
    </w:p>
    <w:p w14:paraId="793C159E">
      <w:pPr>
        <w:spacing w:line="360" w:lineRule="auto"/>
        <w:rPr>
          <w:rFonts w:hint="eastAsia"/>
          <w:b/>
          <w:bCs/>
          <w:sz w:val="24"/>
          <w:szCs w:val="24"/>
          <w:lang w:eastAsia="zh-CN"/>
        </w:rPr>
      </w:pPr>
    </w:p>
    <w:p w14:paraId="7E6CC5AB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、学生借阅情况</w:t>
      </w:r>
    </w:p>
    <w:p w14:paraId="468FF0F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1.总体规模</w:t>
      </w:r>
    </w:p>
    <w:p w14:paraId="186168A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根据借阅规则，</w:t>
      </w:r>
      <w:r>
        <w:rPr>
          <w:rFonts w:hint="eastAsia" w:ascii="宋体" w:hAnsi="宋体" w:eastAsia="宋体" w:cs="宋体"/>
          <w:sz w:val="24"/>
          <w:szCs w:val="24"/>
        </w:rPr>
        <w:t>学生最多可借图书4册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借期最长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120天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遇寒暑假则顺延至开学。学生</w:t>
      </w:r>
      <w:r>
        <w:rPr>
          <w:rFonts w:hint="eastAsia" w:ascii="宋体" w:hAnsi="宋体" w:eastAsia="宋体" w:cs="宋体"/>
          <w:sz w:val="24"/>
          <w:szCs w:val="24"/>
        </w:rPr>
        <w:t>借阅清单共记录借阅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次数</w:t>
      </w: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70册次</w:t>
      </w:r>
      <w:r>
        <w:rPr>
          <w:rFonts w:hint="eastAsia" w:ascii="宋体" w:hAnsi="宋体" w:eastAsia="宋体" w:cs="宋体"/>
          <w:sz w:val="24"/>
          <w:szCs w:val="24"/>
        </w:rPr>
        <w:t>（专业类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111册次</w:t>
      </w:r>
      <w:r>
        <w:rPr>
          <w:rFonts w:hint="eastAsia" w:ascii="宋体" w:hAnsi="宋体" w:eastAsia="宋体" w:cs="宋体"/>
          <w:sz w:val="24"/>
          <w:szCs w:val="24"/>
        </w:rPr>
        <w:t>，文学类1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59册次</w:t>
      </w:r>
      <w:r>
        <w:rPr>
          <w:rFonts w:hint="eastAsia" w:ascii="宋体" w:hAnsi="宋体" w:eastAsia="宋体" w:cs="宋体"/>
          <w:sz w:val="24"/>
          <w:szCs w:val="24"/>
        </w:rPr>
        <w:t>）。文学类图书占58.9%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高于专业类，反映学生课外阅读参与度较高。</w:t>
      </w:r>
    </w:p>
    <w:p w14:paraId="30FC8D0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.热门图书（学生）</w:t>
      </w:r>
    </w:p>
    <w:p w14:paraId="2317B29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借阅次数较高的图书包括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：《</w:t>
      </w:r>
      <w:r>
        <w:rPr>
          <w:rFonts w:hint="eastAsia" w:ascii="宋体" w:hAnsi="宋体" w:eastAsia="宋体" w:cs="宋体"/>
          <w:sz w:val="24"/>
          <w:szCs w:val="24"/>
        </w:rPr>
        <w:t>心流：最优体验心理学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册次）、《</w:t>
      </w:r>
      <w:r>
        <w:rPr>
          <w:rFonts w:hint="eastAsia" w:ascii="宋体" w:hAnsi="宋体" w:eastAsia="宋体" w:cs="宋体"/>
          <w:sz w:val="24"/>
          <w:szCs w:val="24"/>
        </w:rPr>
        <w:t>白夜行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册次）、《</w:t>
      </w:r>
      <w:r>
        <w:rPr>
          <w:rFonts w:hint="eastAsia" w:ascii="宋体" w:hAnsi="宋体" w:eastAsia="宋体" w:cs="宋体"/>
          <w:sz w:val="24"/>
          <w:szCs w:val="24"/>
        </w:rPr>
        <w:t>2023年会计专业技术资格考试应试指导及全真模拟测试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</w:t>
      </w:r>
      <w:r>
        <w:rPr>
          <w:rFonts w:hint="eastAsia" w:ascii="宋体" w:hAnsi="宋体" w:eastAsia="宋体" w:cs="宋体"/>
          <w:sz w:val="24"/>
          <w:szCs w:val="24"/>
        </w:rPr>
        <w:t>中级会计实务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册次）、《</w:t>
      </w:r>
      <w:r>
        <w:rPr>
          <w:rFonts w:hint="eastAsia" w:ascii="宋体" w:hAnsi="宋体" w:eastAsia="宋体" w:cs="宋体"/>
          <w:sz w:val="24"/>
          <w:szCs w:val="24"/>
        </w:rPr>
        <w:t>初级会计职称教材知识点精讲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</w:t>
      </w:r>
      <w:r>
        <w:rPr>
          <w:rFonts w:hint="eastAsia" w:ascii="宋体" w:hAnsi="宋体" w:eastAsia="宋体" w:cs="宋体"/>
          <w:sz w:val="24"/>
          <w:szCs w:val="24"/>
        </w:rPr>
        <w:t>经济法基础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册次）、《</w:t>
      </w:r>
      <w:r>
        <w:rPr>
          <w:rFonts w:hint="eastAsia" w:ascii="宋体" w:hAnsi="宋体" w:eastAsia="宋体" w:cs="宋体"/>
          <w:sz w:val="24"/>
          <w:szCs w:val="24"/>
        </w:rPr>
        <w:t>刘擎西方现代思想讲义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册次）。</w:t>
      </w:r>
    </w:p>
    <w:p w14:paraId="42E1B2AF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学生阅读特点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详见附件1：2025-2026学年学生借阅图书清单）</w:t>
      </w:r>
    </w:p>
    <w:p w14:paraId="260F0A5B">
      <w:pPr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文学类偏好明显：余华、东野圭吾、路遥、刘慈欣等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知名</w:t>
      </w:r>
      <w:r>
        <w:rPr>
          <w:rFonts w:hint="eastAsia" w:ascii="宋体" w:hAnsi="宋体" w:eastAsia="宋体" w:cs="宋体"/>
          <w:sz w:val="24"/>
          <w:szCs w:val="24"/>
        </w:rPr>
        <w:t>作家作品借阅较多。</w:t>
      </w:r>
    </w:p>
    <w:p w14:paraId="5E0FD2F3">
      <w:pPr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心理学与自我成长类受欢迎：《心流》《被讨厌的勇气》《自恋时代》等。</w:t>
      </w:r>
    </w:p>
    <w:p w14:paraId="3A54E38D">
      <w:pPr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考试考证类需求集中：会计、经济法、英语四六级等备考书籍借阅次数较高。</w:t>
      </w:r>
    </w:p>
    <w:p w14:paraId="2F0C36C6">
      <w:pPr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网络文学与流行小说有一定市场：《斗破苍穹》《盗墓笔记》等。</w:t>
      </w:r>
    </w:p>
    <w:p w14:paraId="04FE2679">
      <w:pPr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经典名著阅读稳定：《活着》《平凡的世界》《百年孤独》《傲慢与偏见》等均有借阅。</w:t>
      </w:r>
    </w:p>
    <w:p w14:paraId="37E1179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EB7DF7B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、教职工借阅情况</w:t>
      </w:r>
    </w:p>
    <w:p w14:paraId="1C2EFA0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1.总体规模</w:t>
      </w:r>
    </w:p>
    <w:p w14:paraId="1D11DEA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根据借阅规则，教职工</w:t>
      </w:r>
      <w:r>
        <w:rPr>
          <w:rFonts w:hint="eastAsia" w:ascii="宋体" w:hAnsi="宋体" w:eastAsia="宋体" w:cs="宋体"/>
          <w:sz w:val="24"/>
          <w:szCs w:val="24"/>
        </w:rPr>
        <w:t>最多可借图书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24"/>
        </w:rPr>
        <w:t>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借期最长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180天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遇寒暑假则顺延至开学。</w:t>
      </w:r>
      <w:r>
        <w:rPr>
          <w:rFonts w:hint="eastAsia" w:ascii="宋体" w:hAnsi="宋体" w:eastAsia="宋体" w:cs="宋体"/>
          <w:sz w:val="24"/>
          <w:szCs w:val="24"/>
        </w:rPr>
        <w:t>教职工借阅清单共记录借阅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次数346册</w:t>
      </w:r>
      <w:r>
        <w:rPr>
          <w:rFonts w:hint="eastAsia" w:ascii="宋体" w:hAnsi="宋体" w:eastAsia="宋体" w:cs="宋体"/>
          <w:sz w:val="24"/>
          <w:szCs w:val="24"/>
        </w:rPr>
        <w:t>次（专业类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102册次</w:t>
      </w:r>
      <w:r>
        <w:rPr>
          <w:rFonts w:hint="eastAsia" w:ascii="宋体" w:hAnsi="宋体" w:eastAsia="宋体" w:cs="宋体"/>
          <w:sz w:val="24"/>
          <w:szCs w:val="24"/>
        </w:rPr>
        <w:t>，文学类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244册次</w:t>
      </w:r>
      <w:r>
        <w:rPr>
          <w:rFonts w:hint="eastAsia" w:ascii="宋体" w:hAnsi="宋体" w:eastAsia="宋体" w:cs="宋体"/>
          <w:sz w:val="24"/>
          <w:szCs w:val="24"/>
        </w:rPr>
        <w:t>）。教职工文学类借阅占比（70.5%）高于学生（58.9%）。</w:t>
      </w:r>
    </w:p>
    <w:p w14:paraId="2F927B1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.热门图书（教职工）</w:t>
      </w:r>
    </w:p>
    <w:p w14:paraId="4C2B124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借阅次数较高的图书包括：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《</w:t>
      </w:r>
      <w:r>
        <w:rPr>
          <w:rFonts w:hint="eastAsia" w:ascii="宋体" w:hAnsi="宋体" w:eastAsia="宋体" w:cs="宋体"/>
          <w:sz w:val="24"/>
          <w:szCs w:val="24"/>
        </w:rPr>
        <w:t>求医不如求已3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册</w:t>
      </w:r>
      <w:r>
        <w:rPr>
          <w:rFonts w:hint="eastAsia" w:ascii="宋体" w:hAnsi="宋体" w:eastAsia="宋体" w:cs="宋体"/>
          <w:sz w:val="24"/>
          <w:szCs w:val="24"/>
        </w:rPr>
        <w:t>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）、《</w:t>
      </w:r>
      <w:r>
        <w:rPr>
          <w:rFonts w:hint="eastAsia" w:ascii="宋体" w:hAnsi="宋体" w:eastAsia="宋体" w:cs="宋体"/>
          <w:sz w:val="24"/>
          <w:szCs w:val="24"/>
        </w:rPr>
        <w:t>瓷间山河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册</w:t>
      </w:r>
      <w:r>
        <w:rPr>
          <w:rFonts w:hint="eastAsia" w:ascii="宋体" w:hAnsi="宋体" w:eastAsia="宋体" w:cs="宋体"/>
          <w:sz w:val="24"/>
          <w:szCs w:val="24"/>
        </w:rPr>
        <w:t>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）、《</w:t>
      </w:r>
      <w:r>
        <w:rPr>
          <w:rFonts w:hint="eastAsia" w:ascii="宋体" w:hAnsi="宋体" w:eastAsia="宋体" w:cs="宋体"/>
          <w:sz w:val="24"/>
          <w:szCs w:val="24"/>
        </w:rPr>
        <w:t>古诗词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75+80</w:t>
      </w:r>
      <w:r>
        <w:rPr>
          <w:rFonts w:hint="eastAsia" w:ascii="宋体" w:hAnsi="宋体" w:eastAsia="宋体" w:cs="宋体"/>
          <w:sz w:val="24"/>
          <w:szCs w:val="24"/>
        </w:rPr>
        <w:t>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册</w:t>
      </w:r>
      <w:r>
        <w:rPr>
          <w:rFonts w:hint="eastAsia" w:ascii="宋体" w:hAnsi="宋体" w:eastAsia="宋体" w:cs="宋体"/>
          <w:sz w:val="24"/>
          <w:szCs w:val="24"/>
        </w:rPr>
        <w:t>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）、《</w:t>
      </w:r>
      <w:r>
        <w:rPr>
          <w:rFonts w:hint="eastAsia" w:ascii="宋体" w:hAnsi="宋体" w:eastAsia="宋体" w:cs="宋体"/>
          <w:sz w:val="24"/>
          <w:szCs w:val="24"/>
        </w:rPr>
        <w:t>古文观止译注：注音版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册</w:t>
      </w:r>
      <w:r>
        <w:rPr>
          <w:rFonts w:hint="eastAsia" w:ascii="宋体" w:hAnsi="宋体" w:eastAsia="宋体" w:cs="宋体"/>
          <w:sz w:val="24"/>
          <w:szCs w:val="24"/>
        </w:rPr>
        <w:t>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）、《</w:t>
      </w:r>
      <w:r>
        <w:rPr>
          <w:rFonts w:hint="eastAsia" w:ascii="宋体" w:hAnsi="宋体" w:eastAsia="宋体" w:cs="宋体"/>
          <w:sz w:val="24"/>
          <w:szCs w:val="24"/>
        </w:rPr>
        <w:t>中国古代著名诗人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册</w:t>
      </w:r>
      <w:r>
        <w:rPr>
          <w:rFonts w:hint="eastAsia" w:ascii="宋体" w:hAnsi="宋体" w:eastAsia="宋体" w:cs="宋体"/>
          <w:sz w:val="24"/>
          <w:szCs w:val="24"/>
        </w:rPr>
        <w:t>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）。</w:t>
      </w:r>
    </w:p>
    <w:p w14:paraId="062AB39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.教职工阅读特点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详见附件2：2025-2026学年教职工借阅图书清单）</w:t>
      </w:r>
    </w:p>
    <w:p w14:paraId="372791AE">
      <w:pPr>
        <w:numPr>
          <w:ilvl w:val="0"/>
          <w:numId w:val="2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文学类阅读广泛：涵盖中国现当代文学、外国文学、推理小说、散文等。</w:t>
      </w:r>
    </w:p>
    <w:p w14:paraId="0DE59F41">
      <w:pPr>
        <w:numPr>
          <w:ilvl w:val="0"/>
          <w:numId w:val="2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教育类专业阅读突出：如《读书那些事》《特级教师推荐的创新阅读》《古诗词75+80首》等。</w:t>
      </w:r>
    </w:p>
    <w:p w14:paraId="30D6DDF3">
      <w:pPr>
        <w:numPr>
          <w:ilvl w:val="0"/>
          <w:numId w:val="2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管理类与人力资源类需求明显：绩效管理、薪酬设计、团队激励等书籍借阅集中。</w:t>
      </w:r>
    </w:p>
    <w:p w14:paraId="4AE853E4">
      <w:pPr>
        <w:numPr>
          <w:ilvl w:val="0"/>
          <w:numId w:val="2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养生保健类阅读较多：中医养生、食疗、按摩、十二时辰养生等。</w:t>
      </w:r>
    </w:p>
    <w:p w14:paraId="42EFA3A5">
      <w:pPr>
        <w:numPr>
          <w:ilvl w:val="0"/>
          <w:numId w:val="2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历史与人物传记受欢迎：中国历史、世界历史、名人传记等。</w:t>
      </w:r>
    </w:p>
    <w:p w14:paraId="73084817">
      <w:pPr>
        <w:numPr>
          <w:ilvl w:val="0"/>
          <w:numId w:val="2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亲子教育与儿童阅读有所体现：如《我的第一本1000英语单词书》《大人孩子都能懂的时间简史》等。</w:t>
      </w:r>
    </w:p>
    <w:p w14:paraId="73FCA6B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A541103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阅读偏好总结</w:t>
      </w:r>
    </w:p>
    <w:p w14:paraId="434535A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1.师生阅读偏好共性</w:t>
      </w:r>
    </w:p>
    <w:p w14:paraId="65C4988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综合学生与教职工图书借阅数据，两类群体的阅读行为与偏好呈现出多项显著共性。</w:t>
      </w:r>
    </w:p>
    <w:p w14:paraId="445F12A3">
      <w:pPr>
        <w:numPr>
          <w:ilvl w:val="0"/>
          <w:numId w:val="3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文学类阅读占据主导地位。师生群体的文学类图书借阅种类、借阅次数均超专业类图书。</w:t>
      </w:r>
    </w:p>
    <w:p w14:paraId="3A15B61D">
      <w:pPr>
        <w:numPr>
          <w:ilvl w:val="0"/>
          <w:numId w:val="3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经典文学作品受众基础稳固。《平凡的世界》《傲慢与偏见》《百年孤独》等中外经典名著，同时出现在学生与教职工的高频借阅清单中。</w:t>
      </w:r>
    </w:p>
    <w:p w14:paraId="17272036">
      <w:pPr>
        <w:numPr>
          <w:ilvl w:val="0"/>
          <w:numId w:val="3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心理成长类阅读热度持续攀升。师生群体均高度关注心理健康与自我提升，主动借阅相关书籍，只是两类群体的选书侧重有所不同，学生偏爱《心流》《被讨厌的勇气》等偏向自我赋能、心态调节的书籍，教职工更偏好《启发》等贴合职场心境、人生感悟的读物。</w:t>
      </w:r>
    </w:p>
    <w:p w14:paraId="0BC0D4D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2.师生阅读偏好差异</w:t>
      </w:r>
    </w:p>
    <w:p w14:paraId="22D9DE8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受身份定位、成长需求、职业场景与生活目标影响，学生与教职工在阅读重点、热门作家偏好、专业阅读方向及阅读目的上存在明显差异化特征。</w:t>
      </w:r>
    </w:p>
    <w:p w14:paraId="5C00682C">
      <w:pPr>
        <w:numPr>
          <w:ilvl w:val="0"/>
          <w:numId w:val="4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阅读重点差异显著。学生阅读更贴合学业与青春成长场景，重点偏向考试考证类工具书、网络文学及青春文学；教职工阅读紧密贴合职业发展与日常生活，聚焦教育理论、管理绩效、养生保健三大方向，实用性与生活化特征突出。</w:t>
      </w:r>
    </w:p>
    <w:p w14:paraId="285C8D84">
      <w:pPr>
        <w:numPr>
          <w:ilvl w:val="0"/>
          <w:numId w:val="4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热门作家偏好截然不同。学生更青睐故事性强、贴合青春审美与通俗阅读需求的作家，以余华、东野圭吾、路遥、天蚕土豆等为代表；教职工更偏爱文笔深刻、兼具文学性与思想性的经典作家，主要包括张爱玲、阿加莎·克里斯蒂、毛姆、米兰·昆德拉等。</w:t>
      </w:r>
    </w:p>
    <w:p w14:paraId="2FC364B6">
      <w:pPr>
        <w:numPr>
          <w:ilvl w:val="0"/>
          <w:numId w:val="4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专业阅读方向精准适配自身需求。学生的专业类借阅集中服务于学业学习与未来就业，以会计、经济、英语、计算机等通用热门专业为主；教职工的专业阅读紧扣本职工作与职业提升，偏向教育教学、行政管理、人力资源、中医养生等适配职业与生活的领域。</w:t>
      </w:r>
    </w:p>
    <w:p w14:paraId="5A747C53">
      <w:pPr>
        <w:numPr>
          <w:ilvl w:val="0"/>
          <w:numId w:val="4"/>
        </w:numPr>
        <w:spacing w:line="360" w:lineRule="auto"/>
        <w:ind w:left="425" w:leftChars="0" w:hanging="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核心阅读目的各有侧重。学生阅读的核心目标为学业能力提升与课余兴趣娱乐，兼顾学习成长与休闲解压；教职工阅读以职业能力进阶、生活品质提升为核心，同时兼顾个人精神爱好，目的性更偏向职业与生活赋能。</w:t>
      </w:r>
    </w:p>
    <w:p w14:paraId="503CE94A"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19F1F90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五、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下一步打算</w:t>
      </w:r>
    </w:p>
    <w:p w14:paraId="4EE8BDC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优化专业类图书采购：根据学生考试需求和教职工职业发展需求，补充会计、经济、教育、管理类新书。</w:t>
      </w:r>
    </w:p>
    <w:p w14:paraId="48065EC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 推广经典阅读与深度阅读：通过读书活动引导学生和教职工阅读经典。</w:t>
      </w:r>
    </w:p>
    <w:p w14:paraId="35A2374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 关注心理健康类图书：增加心理学、情绪管理、自我成长类图书，满足师生需求。</w:t>
      </w:r>
    </w:p>
    <w:p w14:paraId="01A2857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. 丰富文学类馆藏：继续补充中国现当代文学、外国文学、推理小说、散文等受欢迎类别。</w:t>
      </w:r>
    </w:p>
    <w:p w14:paraId="478047E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 加强亲子阅读资源建设：教职工对亲子教育、儿童阅读有一定需求，可适当增加相关图书。</w:t>
      </w:r>
    </w:p>
    <w:p w14:paraId="16CF1460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4B94B8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1ABED41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06CB9B54">
      <w:pPr>
        <w:wordWrap w:val="0"/>
        <w:spacing w:line="360" w:lineRule="auto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图书科研处  </w:t>
      </w:r>
    </w:p>
    <w:p w14:paraId="3F4CA3A8">
      <w:pPr>
        <w:spacing w:line="360" w:lineRule="auto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2026年9月14日</w:t>
      </w:r>
    </w:p>
    <w:p w14:paraId="7D4BEF1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68603E4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3D4DDD6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74FE9D5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附件1：2025-2026学年学生借阅图书清单（附后）</w:t>
      </w:r>
    </w:p>
    <w:p w14:paraId="17018CA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附件2：2025-2026学年教职工借阅图书清单（附后）</w:t>
      </w:r>
    </w:p>
    <w:p w14:paraId="39A0F21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249C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1B4AD9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1B4AD9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C8C88">
    <w:pPr>
      <w:pStyle w:val="3"/>
      <w:jc w:val="center"/>
      <w:rPr>
        <w:rFonts w:hint="eastAsia" w:ascii="宋体" w:hAnsi="宋体" w:eastAsia="宋体" w:cs="宋体"/>
        <w:sz w:val="21"/>
        <w:szCs w:val="21"/>
      </w:rPr>
    </w:pPr>
    <w:r>
      <w:rPr>
        <w:rFonts w:hint="eastAsia" w:ascii="宋体" w:hAnsi="宋体" w:eastAsia="宋体" w:cs="宋体"/>
        <w:i w:val="0"/>
        <w:iCs w:val="0"/>
        <w:caps w:val="0"/>
        <w:color w:val="0F1115"/>
        <w:spacing w:val="0"/>
        <w:sz w:val="21"/>
        <w:szCs w:val="21"/>
        <w:shd w:val="clear" w:fill="FFFFFF"/>
      </w:rPr>
      <w:t>2025-2026学年图书馆借阅情况报告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A3D380"/>
    <w:multiLevelType w:val="singleLevel"/>
    <w:tmpl w:val="A0A3D380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47DDC656"/>
    <w:multiLevelType w:val="singleLevel"/>
    <w:tmpl w:val="47DDC656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5C34D694"/>
    <w:multiLevelType w:val="singleLevel"/>
    <w:tmpl w:val="5C34D694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60800C5A"/>
    <w:multiLevelType w:val="singleLevel"/>
    <w:tmpl w:val="60800C5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033DB"/>
    <w:rsid w:val="056E2709"/>
    <w:rsid w:val="0F2C7F8E"/>
    <w:rsid w:val="11AF6246"/>
    <w:rsid w:val="1BD214CD"/>
    <w:rsid w:val="1C2500DC"/>
    <w:rsid w:val="21583B22"/>
    <w:rsid w:val="238876E3"/>
    <w:rsid w:val="27001828"/>
    <w:rsid w:val="2ADF38FA"/>
    <w:rsid w:val="3D8C00A5"/>
    <w:rsid w:val="416205D1"/>
    <w:rsid w:val="432229B2"/>
    <w:rsid w:val="44A34C9E"/>
    <w:rsid w:val="45EB046D"/>
    <w:rsid w:val="5C7952AC"/>
    <w:rsid w:val="5C80415C"/>
    <w:rsid w:val="63D75728"/>
    <w:rsid w:val="64376F89"/>
    <w:rsid w:val="6825588A"/>
    <w:rsid w:val="69B062F4"/>
    <w:rsid w:val="69C860B2"/>
    <w:rsid w:val="69F402CB"/>
    <w:rsid w:val="72AA11D9"/>
    <w:rsid w:val="749033DB"/>
    <w:rsid w:val="76BF6130"/>
    <w:rsid w:val="77D6611A"/>
    <w:rsid w:val="7DF41F72"/>
    <w:rsid w:val="7FB4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chart" Target="charts/chart1.xml"/><Relationship Id="rId7" Type="http://schemas.openxmlformats.org/officeDocument/2006/relationships/image" Target="media/image1.png"/><Relationship Id="rId6" Type="http://www.wps.cn/officeDocument/2018/webExtension" Target="webExtensions/webExtension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百分比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ln w="12700" cmpd="sng">
                      <a:noFill/>
                      <a:prstDash val="sysDot"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Sheet1!$A$2:$A$3</c:f>
              <c:strCache>
                <c:ptCount val="2"/>
                <c:pt idx="0">
                  <c:v>文学类</c:v>
                </c:pt>
                <c:pt idx="1">
                  <c:v>专业类</c:v>
                </c:pt>
              </c:strCache>
            </c:strRef>
          </c:cat>
          <c:val>
            <c:numRef>
              <c:f>Sheet1!$B$2:$B$3</c:f>
              <c:numCache>
                <c:formatCode>0.0%</c:formatCode>
                <c:ptCount val="2"/>
                <c:pt idx="0">
                  <c:v>0.654</c:v>
                </c:pt>
                <c:pt idx="1">
                  <c:v>0.346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ln w="12700" cmpd="sng">
                  <a:noFill/>
                  <a:prstDash val="sysDot"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ln w="12700" cmpd="sng">
                  <a:noFill/>
                  <a:prstDash val="sysDot"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ln w="12700" cmpd="sng">
                <a:noFill/>
                <a:prstDash val="sysDot"/>
              </a:ln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bdc637c-8e72-44e0-ae4e-145a1901cd1f}"/>
      </c:ext>
    </c:extLst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 rot="0" vert="horz" anchor="t" anchorCtr="0"/>
    <a:lstStyle/>
    <a:p>
      <a:pPr>
        <a:defRPr lang="zh-CN">
          <a:ln w="12700" cmpd="sng">
            <a:noFill/>
            <a:prstDash val="sysDot"/>
          </a:ln>
          <a:solidFill>
            <a:schemeClr val="tx1"/>
          </a:solidFill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8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word/webExtensions/_rels/webExtension1.xml.rels><?xml version="1.0" encoding="UTF-8" standalone="yes"?>
<Relationships xmlns="http://schemas.openxmlformats.org/package/2006/relationships"><Relationship Id="rId2" Type="http://schemas.openxmlformats.org/officeDocument/2006/relationships/image" Target="../media/image1.png"/><Relationship Id="rId1" Type="http://schemas.openxmlformats.org/officeDocument/2006/relationships/package" Target="../embeddings/Workbook2.xlsx"/></Relationships>
</file>

<file path=word/webExtensions/webExtension1.xml><?xml version="1.0" encoding="utf-8"?>
<wpswe:webExtension xmlns:wpswe="http://www.wps.cn/officeDocument/2018/webExtension" xmlns:webet="https://web.wps.cn/et/2018/main" webet:type="Normal" type="0" webet:id="">
  <wpswe:extSource id="dschart" version="1.0"/>
  <wpswe:properties>
    <wpswe:property key="DiscardFirstCodeChange" value="0"/>
    <wpswe:property key="autoSnapshot" value="0"/>
    <wpswe:property key="dschart" value="{&quot;dschart_data&quot;:{&quot;blockId&quot;:&quot;161243067184340517&quot;,&quot;chart_type&quot;:&quot;柱状图&quot;,&quot;classifty_type&quot;:[&quot;比较类&quot;],&quot;dataSrc&quot;:{&quot;data&quot;:[[[&quot;分类号&quot;,&quot;册次&quot;],[&quot;A|马列主义&quot;,&quot;0&quot;],[&quot;B|哲 学&quot;,&quot;31&quot;],[&quot;C|社科总论&quot;,&quot;12&quot;],[&quot;D|政治法律&quot;,&quot;4&quot;],[&quot;E|军 事&quot;,&quot;4&quot;],[&quot;F|经 济&quot;,&quot;71&quot;],[&quot;G|文科教体&quot;,&quot;11&quot;],[&quot;H|语 言&quot;,&quot;23&quot;],[&quot;I|文 学&quot;,&quot;348&quot;],[&quot;J|艺 术&quot;,&quot;8&quot;],[&quot;K|历史地理&quot;,&quot;53&quot;],[&quot;N|自科总论&quot;,&quot;0&quot;],[&quot;O|数 理 化&quot;,&quot;1&quot;],[&quot;P|天文地球&quot;,&quot;3&quot;],[&quot;Q|生物科学&quot;,&quot;1&quot;],[&quot;R|医药卫生&quot;,&quot;31&quot;],[&quot;S|农业科学&quot;,&quot;0&quot;],[&quot;T|工业技术&quot;,&quot;5&quot;],[&quot;U|交通运输&quot;,&quot;0&quot;],[&quot;V|航空航天&quot;,&quot;0&quot;],[&quot;X|环境劳保&quot;,&quot;0&quot;],[&quot;Z|综合图书&quot;,&quot;6&quot;]]],&quot;dataType&quot;:&quot;obejct-table&quot;,&quot;download&quot;:false,&quot;srcType&quot;:&quot;local&quot;,&quot;url&quot;:&quot;&quot;},&quot;function_type&quot;:[&quot;条形图&quot;],&quot;gif&quot;:&quot;//personal.wpscdn.cn/app/ds/frame/images/154772011302084304.gif?imageView2/2/w/500/quality/90&quot;,&quot;index&quot;:0,&quot;isFree&quot;:&quot;0&quot;,&quot;label&quot;:&quot;&lt;e-basic-horizontal-bar-chart&gt;&quot;,&quot;projectId&quot;:&quot;154772011302084304&quot;,&quot;props&quot;:{&quot;animation&quot;:{&quot;duration&quot;:&quot;1.3&quot;,&quot;easeStyle&quot;:&quot;&quot;,&quot;endPause&quot;:&quot;1&quot;,&quot;moveOptions&quot;:[&quot;横向同步拉伸&quot;,&quot;横向分组拉伸&quot;,&quot;横向分类拉伸&quot;,&quot;按分组的百叶窗&quot;,&quot;百叶窗&quot;,&quot;按分类的百叶窗&quot;],&quot;moveStyle&quot;:&quot;横向同步拉伸&quot;,&quot;startDelay&quot;:&quot;0&quot;,&quot;transition&quot;:true},&quot;axis&quot;:{&quot;color&quot;:&quot;#a1a1a1&quot;,&quot;grid&quot;:{&quot;color&quot;:&quot;#ccc&quot;,&quot;gridLineWidth&quot;:&quot;1&quot;,&quot;lineStyle&quot;:&quot;dashline&quot;,&quot;show&quot;:&quot;none&quot;},&quot;x&quot;:{&quot;axisColor&quot;:&quot;#bfbfbf&quot;,&quot;axisLineWidth&quot;:&quot;1&quot;,&quot;axisPositonChoice&quot;:&quot;下面&quot;,&quot;axisPositonOptions&quot;:[&quot;上面&quot;,&quot;下面&quot;],&quot;axisShow&quot;:true,&quot;labelAngle&quot;:&quot;0&quot;,&quot;labelDirection&quot;:&quot;自动&quot;,&quot;labelDirectionOptions&quot;:[&quot;自动&quot;,&quot;横排&quot;,&quot;竖排&quot;],&quot;labelShow&quot;:true,&quot;labelSuffix&quot;:&quot;&quot;,&quot;name&quot;:&quot;&quot;,&quot;range&quot;:[],&quot;stepOfLabel&quot;:&quot;&quot;},&quot;y&quot;:{&quot;axisColor&quot;:&quot;#bfbfbf&quot;,&quot;axisLineWidth&quot;:&quot;1&quot;,&quot;axisShow&quot;:true,&quot;labelShow&quot;:true,&quot;name&quot;:&quot;&quot;}},&quot;backgroundColor&quot;:&quot;&quot;,&quot;colors&quot;:{&quot;colorControlers&quot;:[&quot;single&quot;,&quot;multiple&quot;,&quot;linear&quot;],&quot;list&quot;:[0],&quot;type&quot;:&quot;multiple&quot;},&quot;display&quot;:{&quot;bar4CornerRadius&quot;:[0,0,0,0],&quot;barWidthPercent&quot;:&quot;0.5&quot;,&quot;barborderColor&quot;:&quot;&quot;,&quot;barborderWidth&quot;:&quot;0&quot;,&quot;fillOpacity&quot;:&quot;1&quot;},&quot;font&quot;:{&quot;color&quot;:&quot;#545454&quot;,&quot;fontFamily&quot;:&quot;黑体&quot;,&quot;fontSize&quot;:&quot;10&quot;},&quot;label&quot;:{&quot;display&quot;:true,&quot;positionChoice&quot;:&quot;右边&quot;,&quot;positionOptions&quot;:[&quot;内部居左&quot;,&quot;内部居右&quot;,&quot;右边&quot;],&quot;suffix&quot;:&quot;&quot;,&quot;textLabel&quot;:{&quot;color&quot;:&quot;#545454&quot;,&quot;fontFamily&quot;:&quot;黑体&quot;,&quot;fontSize&quot;:&quot;10&quot;}},&quot;legend&quot;:{&quot;color&quot;:[&quot;#545454&quot;],&quot;fontFamily&quot;:[&quot;黑体&quot;],&quot;fontSize&quot;:&quot;7&quot;,&quot;lineHeight&quot;:&quot;15&quot;,&quot;show&quot;:true,&quot;style&quot;:&quot;&quot;,&quot;styleOptions&quot;:[],&quot;xPosition&quot;:&quot;center&quot;,&quot;yPosition&quot;:&quot;bottom&quot;},&quot;logoDisplay&quot;:{&quot;bottomLineHeight&quot;:&quot;15&quot;,&quot;imgHeight&quot;:&quot;32&quot;,&quot;imgUrl&quot;:&quot;https://ss1.dydata.io/newchartLogo.png&quot;,&quot;show&quot;:true,&quot;topLineHeight&quot;:&quot;11&quot;},&quot;map&quot;:[[{&quot;allowType&quot;:[&quot;string&quot;],&quot;configurable&quot;:false,&quot;function&quot;:&quot;objCol&quot;,&quot;index&quot;:0,&quot;isLegend&quot;:false,&quot;name&quot;:&quot;Y轴对象&quot;},{&quot;allowType&quot;:[&quot;number&quot;],&quot;configurable&quot;:true,&quot;function&quot;:&quot;vCol&quot;,&quot;index&quot;:1,&quot;isLegend&quot;:false,&quot;name&quot;:&quot;数值列&quot;}]],&quot;numberFormat&quot;:{&quot;decimalPlaces&quot;:&quot;&quot;,&quot;style&quot;:&quot;1000.00&quot;},&quot;paddings&quot;:{&quot;bottom&quot;:&quot;33&quot;,&quot;chartBottom&quot;:&quot;5&quot;,&quot;left&quot;:&quot;24&quot;,&quot;right&quot;:&quot;24&quot;,&quot;top&quot;:&quot;24&quot;},&quot;publishDisplay&quot;:{&quot;color&quot;:&quot;#878787&quot;,&quot;fontFamily&quot;:&quot;黑体&quot;,&quot;fontSize&quot;:&quot;14&quot;,&quot;show&quot;:true,&quot;text&quot;:&quot;镝数出品&quot;},&quot;shadow&quot;:{&quot;display&quot;:false,&quot;shadowAngle&quot;:&quot;45&quot;,&quot;shadowBlur&quot;:&quot;5&quot;,&quot;shadowColor&quot;:&quot;#c6c6c6&quot;,&quot;shadowOpacity&quot;:&quot;100&quot;,&quot;shadowRadius&quot;:&quot;3&quot;},&quot;size&quot;:{&quot;height&quot;:&quot;470&quot;,&quot;ratio&quot;:&quot;&quot;,&quot;rotate&quot;:0,&quot;width&quot;:&quot;600&quot;},&quot;sourceDisplay&quot;:{&quot;color&quot;:&quot;#878787&quot;,&quot;fontFamily&quot;:&quot;黑体&quot;,&quot;fontSize&quot;:&quot;14&quot;,&quot;show&quot;:false,&quot;text&quot;:&quot;数据来源：示例数据&quot;,&quot;topLineHeight&quot;:&quot;15&quot;,&quot;xPosition&quot;:&quot;left&quot;,&quot;yPosition&quot;:&quot;bottom&quot;},&quot;titleDisplay&quot;:{&quot;color&quot;:&quot;#4c4c4c&quot;,&quot;fontFamily&quot;:&quot;黑体&quot;,&quot;fontSize&quot;:&quot;36&quot;,&quot;lineHeight&quot;:&quot;10&quot;,&quot;show&quot;:false,&quot;text&quot;:&quot;2018年全国各地区销售额情况&quot;,&quot;totalHeight&quot;:&quot;39&quot;,&quot;xPosition&quot;:&quot;left&quot;,&quot;yPosition&quot;:&quot;top&quot;},&quot;tooltip&quot;:false,&quot;unitDisplay&quot;:{&quot;bottomLineHeight&quot;:&quot;15&quot;,&quot;color&quot;:&quot;#878787&quot;,&quot;fontFamily&quot;:&quot;黑体&quot;,&quot;fontSize&quot;:&quot;14&quot;,&quot;show&quot;:false,&quot;text&quot;:&quot;单位：万元&quot;,&quot;xPosition&quot;:&quot;left&quot;,&quot;yPosition&quot;:&quot;top&quot;},&quot;watermarkDisplay&quot;:{&quot;imgHeight&quot;:&quot;80&quot;,&quot;imgUrl&quot;:&quot;https://ss1.dydata.io/newchartWatermark.png&quot;,&quot;imgWidth&quot;:&quot;80&quot;,&quot;show&quot;:false}},&quot;templateId&quot;:&quot;154772011302084304&quot;,&quot;templateSwitch&quot;:&quot;cross&quot;,&quot;theme&quot;:{&quot;axis&quot;:{&quot;color&quot;:&quot;#a1a1a1&quot;},&quot;backgroundColor&quot;:&quot;#FFFFFF&quot;,&quot;colors&quot;:[&quot;#5AAEF3&quot;,&quot;#62D9AD&quot;,&quot;#5B6E96&quot;,&quot;#a8dffa&quot;,&quot;#ffdc4c&quot;,&quot;#FF974C&quot;,&quot;#E65A56&quot;,&quot;#6D61E4&quot;,&quot;#4A6FE2&quot;,&quot;#6D9AE7&quot;,&quot;#23C2DB&quot;,&quot;#D4EC59&quot;,&quot;#FFE88E&quot;,&quot;#FEB64D&quot;,&quot;#FB6E6C&quot;],&quot;fonts&quot;:{&quot;accessoryColor&quot;:&quot;#878787&quot;,&quot;color&quot;:&quot;#545454&quot;,&quot;fontFamily&quot;:&quot;黑体&quot;,&quot;fontSize&quot;:&quot;14&quot;},&quot;grid&quot;:{&quot;color&quot;:&quot;#ccc&quot;},&quot;name&quot;:&quot;默认主题&quot;,&quot;price&quot;:&quot;0.0&quot;,&quot;shapeColor&quot;:1,&quot;themeId&quot;:&quot;18&quot;,&quot;titleFont&quot;:{&quot;color&quot;:&quot;#4c4c4c&quot;,&quot;fontFamily&quot;:&quot;黑体&quot;,&quot;fontSize&quot;:&quot;36&quot;}},&quot;thumb&quot;:&quot;//personal.wpscdn.cn/app/ds/frame/images/basice.3F34E305.jpg?imageView2/2/w/500/quality/90&quot;,&quot;title&quot;:&quot;基础条形图&quot;,&quot;type&quot;:&quot;chart&quot;},&quot;dschart_id&quot;:&quot;154772011302084304&quot;,&quot;flag&quot;:&quot;1001&quot;,&quot;page&quot;:&quot;editor&quot;}"/>
    <wpswe:property key="isUseCommonErrorPage" value="false"/>
    <wpswe:property key="loadingImage" value="res:/icons/WebChartLoading.svg"/>
  </wpswe:properties>
  <wpswe:watchingCache>
    <wpswe:linkPath>C:/Users/Administrator/AppData/Local/Temp/wps.xwlqkr/Workbook2.xlsx</wpswe:linkPath>
  </wpswe:watchingCache>
  <wpswe:snapshot xmlns:r="http://schemas.openxmlformats.org/officeDocument/2006/relationships" r:embed="rId2"/>
  <wpswe:externalData xmlns:r="http://schemas.openxmlformats.org/officeDocument/2006/relationships" r:id="rId1"/>
  <wpswe:url>https://clientweb.docer.wps.cn/docer-ds/web-shape-1.0.0/?id=191&amp;dschart_id=444734748594536323-4&amp;from=resource&amp;productEntry=docers&amp;sceneEntry=srch</wpswe:url>
  <wpswe:constantSnapshot>false</wpswe:constantSnapshot>
</wps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2159</Words>
  <Characters>2315</Characters>
  <Lines>0</Lines>
  <Paragraphs>0</Paragraphs>
  <TotalTime>11</TotalTime>
  <ScaleCrop>false</ScaleCrop>
  <LinksUpToDate>false</LinksUpToDate>
  <CharactersWithSpaces>2330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2026-09-11T08:29:00Z</dcterms:created>
  <dc:creator>格式君</dc:creator>
  <cp:lastModifiedBy>格式君</cp:lastModifiedBy>
  <dcterms:modified xsi:type="dcterms:W3CDTF">2026-09-14T09:12:57Z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C38506BB1C314323A37DA3C4CC801067_13</vt:lpwstr>
  </property>
  <property fmtid="{D5CDD505-2E9C-101B-9397-08002B2CF9AE}" pid="4" name="KSOTemplateDocerSaveRecord">
    <vt:lpwstr>eyJoZGlkIjoiMWUyMDYzYWFjZGNmOTZlMWZhYWJjMDY5ZDYxZjRjYWMiLCJ1c2VySWQiOiIyODM4NDMxNjkifQ==</vt:lpwstr>
  </property>
</Properties>
</file>